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lef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widowControl/>
        <w:spacing w:line="360" w:lineRule="auto"/>
        <w:ind w:firstLine="3433" w:firstLineChars="950"/>
        <w:jc w:val="left"/>
        <w:rPr>
          <w:rFonts w:ascii="宋体" w:hAnsi="宋体" w:cs="宋体"/>
          <w:color w:val="000000"/>
          <w:kern w:val="0"/>
          <w:szCs w:val="21"/>
        </w:rPr>
      </w:pPr>
      <w:r>
        <w:rPr>
          <w:rFonts w:hint="eastAsia" w:ascii="宋体" w:hAnsi="宋体" w:cs="宋体"/>
          <w:b/>
          <w:bCs/>
          <w:color w:val="000000"/>
          <w:kern w:val="0"/>
          <w:sz w:val="36"/>
          <w:szCs w:val="36"/>
        </w:rPr>
        <w:t xml:space="preserve">宏观策略下半年研究报告         </w:t>
      </w:r>
      <w:r>
        <w:rPr>
          <w:rFonts w:hint="eastAsia" w:ascii="宋体" w:hAnsi="宋体" w:cs="宋体"/>
          <w:color w:val="000000"/>
          <w:kern w:val="0"/>
          <w:sz w:val="36"/>
          <w:szCs w:val="36"/>
        </w:rPr>
        <w:t xml:space="preserve"> </w:t>
      </w:r>
      <w:r>
        <w:rPr>
          <w:rFonts w:hint="eastAsia" w:ascii="宋体" w:hAnsi="宋体" w:cs="宋体"/>
          <w:color w:val="000000"/>
          <w:kern w:val="0"/>
          <w:szCs w:val="21"/>
        </w:rPr>
        <w:t>[20150716]</w:t>
      </w:r>
    </w:p>
    <w:p>
      <w:pPr>
        <w:widowControl/>
        <w:spacing w:line="360" w:lineRule="auto"/>
        <w:jc w:val="left"/>
        <w:rPr>
          <w:rFonts w:ascii="宋体" w:hAnsi="宋体" w:cs="宋体"/>
          <w:color w:val="000000"/>
          <w:kern w:val="0"/>
          <w:sz w:val="36"/>
          <w:szCs w:val="36"/>
        </w:rPr>
      </w:pPr>
      <w:r>
        <w:rPr>
          <w:rFonts w:hint="eastAsia" w:ascii="宋体" w:hAnsi="宋体" w:cs="宋体"/>
          <w:color w:val="000000"/>
          <w:kern w:val="0"/>
          <w:sz w:val="36"/>
          <w:szCs w:val="36"/>
        </w:rPr>
        <w:t xml:space="preserve">  </w:t>
      </w:r>
    </w:p>
    <w:p>
      <w:pPr>
        <w:widowControl/>
        <w:wordWrap/>
        <w:adjustRightInd/>
        <w:snapToGrid/>
        <w:spacing w:line="360" w:lineRule="auto"/>
        <w:ind w:firstLine="0" w:firstLineChars="0"/>
        <w:jc w:val="both"/>
        <w:textAlignment w:val="auto"/>
        <w:outlineLvl w:val="9"/>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 xml:space="preserve">     中国资本市场在宽松货币的政策下，上半年股票市场迎来了强劲的上涨走势，</w:t>
      </w:r>
      <w:r>
        <w:rPr>
          <w:rFonts w:hint="eastAsia" w:ascii="宋体" w:hAnsi="宋体" w:cs="宋体"/>
          <w:color w:val="000000"/>
          <w:sz w:val="24"/>
          <w:szCs w:val="24"/>
          <w:shd w:val="clear" w:color="auto" w:fill="FFFFFF"/>
        </w:rPr>
        <w:t>6月12日上证指数创下七年来新高5178.19点</w:t>
      </w:r>
      <w:r>
        <w:rPr>
          <w:rFonts w:hint="eastAsia" w:ascii="宋体" w:hAnsi="宋体" w:cs="宋体"/>
          <w:color w:val="000000"/>
          <w:kern w:val="0"/>
          <w:sz w:val="24"/>
          <w:szCs w:val="24"/>
        </w:rPr>
        <w:t>。然而，在6月15日A股却出现了急剧下跌行情，短短十几个交易日，上证指数从高位5178到7月9日下跌到3373点，下跌幅度达-30%，个股普遍下跌了-50%，个别股票下跌高达-70%，这是A股有史以来罕见的踩踏式下跌。为此，我们收集了相关的宏观政策及经济数据，作出如下判断</w:t>
      </w:r>
      <w:r>
        <w:rPr>
          <w:rFonts w:hint="eastAsia" w:ascii="宋体" w:hAnsi="宋体" w:cs="宋体"/>
          <w:color w:val="000000"/>
          <w:kern w:val="0"/>
          <w:sz w:val="24"/>
          <w:szCs w:val="24"/>
          <w:lang w:val="en-US" w:eastAsia="zh-CN"/>
        </w:rPr>
        <w:t>:</w:t>
      </w:r>
    </w:p>
    <w:p>
      <w:pPr>
        <w:widowControl/>
        <w:wordWrap/>
        <w:adjustRightInd/>
        <w:snapToGrid/>
        <w:spacing w:line="360" w:lineRule="auto"/>
        <w:ind w:firstLine="0" w:firstLineChars="0"/>
        <w:jc w:val="both"/>
        <w:textAlignment w:val="auto"/>
        <w:outlineLvl w:val="9"/>
        <w:rPr>
          <w:rFonts w:hint="eastAsia" w:ascii="宋体" w:hAnsi="宋体" w:cs="宋体"/>
          <w:color w:val="000000"/>
          <w:kern w:val="0"/>
          <w:sz w:val="24"/>
          <w:szCs w:val="24"/>
          <w:lang w:val="en-US" w:eastAsia="zh-CN"/>
        </w:rPr>
      </w:pPr>
    </w:p>
    <w:p>
      <w:pPr>
        <w:widowControl/>
        <w:wordWrap/>
        <w:adjustRightInd/>
        <w:snapToGrid/>
        <w:spacing w:line="360" w:lineRule="auto"/>
        <w:ind w:firstLine="0" w:firstLineChars="0"/>
        <w:jc w:val="both"/>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bidi="ar-SA"/>
        </w:rPr>
        <w:t>随着房地产回暖、经济基本面将在明年企稳，货币政策的转向即将调整。央行降息、降准的总量型货币政策接近尾声，利率上行趋势基本上确立。因此，“改革牛”的根基已经出现变化。</w:t>
      </w:r>
    </w:p>
    <w:p>
      <w:pPr>
        <w:pStyle w:val="5"/>
        <w:widowControl/>
        <w:wordWrap/>
        <w:adjustRightInd/>
        <w:snapToGrid/>
        <w:spacing w:line="360" w:lineRule="auto"/>
        <w:ind w:left="496" w:right="496" w:firstLine="0" w:firstLineChars="0"/>
        <w:jc w:val="both"/>
        <w:textAlignment w:val="auto"/>
        <w:outlineLvl w:val="9"/>
        <w:rPr>
          <w:rFonts w:ascii="宋体" w:hAnsi="宋体" w:cs="宋体"/>
          <w:color w:val="000000"/>
          <w:szCs w:val="24"/>
        </w:rPr>
      </w:pPr>
    </w:p>
    <w:p>
      <w:pPr>
        <w:pStyle w:val="5"/>
        <w:widowControl/>
        <w:wordWrap/>
        <w:adjustRightInd/>
        <w:snapToGrid/>
        <w:spacing w:line="360" w:lineRule="auto"/>
        <w:ind w:left="496" w:right="496" w:firstLine="0" w:firstLineChars="0"/>
        <w:jc w:val="both"/>
        <w:textAlignment w:val="auto"/>
        <w:outlineLvl w:val="9"/>
        <w:rPr>
          <w:rFonts w:ascii="宋体" w:hAnsi="宋体" w:cs="宋体"/>
          <w:b/>
          <w:bCs/>
          <w:color w:val="0070C0"/>
          <w:szCs w:val="24"/>
        </w:rPr>
      </w:pPr>
      <w:r>
        <w:rPr>
          <w:rFonts w:hint="eastAsia" w:ascii="宋体" w:hAnsi="宋体" w:cs="宋体"/>
          <w:b/>
          <w:bCs/>
          <w:color w:val="0070C0"/>
          <w:szCs w:val="24"/>
        </w:rPr>
        <w:t>一、央行公开市场操作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重启逆回购的背景本次逆回购是在央行连续暂停19次公开市场操作后的首次重启。根据央行官方的表述，本次重启的主要背景是半年末金融指标考核和大盘股发行，造成部分中小金融机构出现短期的资金面紧张，因此通过逆回购操作释放短期流动性稳定货币市场。</w:t>
      </w:r>
    </w:p>
    <w:p>
      <w:pPr>
        <w:pStyle w:val="5"/>
        <w:widowControl/>
        <w:wordWrap/>
        <w:adjustRightInd/>
        <w:snapToGrid/>
        <w:spacing w:line="360" w:lineRule="auto"/>
        <w:ind w:right="496" w:firstLine="0" w:firstLineChars="0"/>
        <w:jc w:val="both"/>
        <w:textAlignment w:val="auto"/>
        <w:outlineLvl w:val="9"/>
        <w:rPr>
          <w:rFonts w:ascii="宋体" w:hAnsi="宋体" w:cs="宋体"/>
          <w:color w:val="000000"/>
          <w:szCs w:val="24"/>
        </w:rPr>
      </w:pPr>
    </w:p>
    <w:p>
      <w:pPr>
        <w:pStyle w:val="5"/>
        <w:widowControl/>
        <w:numPr>
          <w:ilvl w:val="0"/>
          <w:numId w:val="1"/>
        </w:numPr>
        <w:wordWrap/>
        <w:adjustRightInd/>
        <w:snapToGrid/>
        <w:spacing w:line="360" w:lineRule="auto"/>
        <w:ind w:left="496" w:right="496" w:firstLine="0" w:firstLineChars="0"/>
        <w:jc w:val="both"/>
        <w:textAlignment w:val="auto"/>
        <w:outlineLvl w:val="9"/>
        <w:rPr>
          <w:rFonts w:hint="eastAsia" w:ascii="宋体" w:hAnsi="宋体" w:cs="宋体"/>
          <w:b/>
          <w:color w:val="0070C0"/>
          <w:szCs w:val="24"/>
        </w:rPr>
      </w:pPr>
      <w:r>
        <w:rPr>
          <w:rFonts w:hint="eastAsia" w:ascii="宋体" w:hAnsi="宋体" w:cs="宋体"/>
          <w:b/>
          <w:color w:val="0070C0"/>
          <w:szCs w:val="24"/>
        </w:rPr>
        <w:t>历年6月央行货币政策操作回顾</w:t>
      </w:r>
    </w:p>
    <w:p>
      <w:pPr>
        <w:spacing w:line="360" w:lineRule="auto"/>
        <w:rPr>
          <w:rFonts w:hint="eastAsia" w:ascii="宋体" w:hAnsi="宋体" w:eastAsia="宋体" w:cs="宋体"/>
          <w:sz w:val="24"/>
          <w:szCs w:val="24"/>
        </w:rPr>
      </w:pPr>
      <w:r>
        <w:rPr>
          <w:rFonts w:hint="eastAsia" w:ascii="宋体" w:hAnsi="宋体" w:eastAsia="宋体" w:cs="宋体"/>
          <w:sz w:val="24"/>
          <w:szCs w:val="24"/>
        </w:rPr>
        <w:t>从历史数据来看，由于银行半年末指标考核的惯例，6月出现资金利率抬升十分常见。其中，2013年6月出现的“钱荒”最为让人印象深刻，当时的隔夜回购利率一度飙升至11%以上。</w:t>
      </w:r>
    </w:p>
    <w:p>
      <w:pPr>
        <w:pStyle w:val="5"/>
        <w:widowControl/>
        <w:spacing w:line="360" w:lineRule="auto"/>
        <w:ind w:left="496" w:right="496"/>
        <w:rPr>
          <w:rFonts w:ascii="宋体" w:hAnsi="宋体" w:cs="宋体"/>
          <w:color w:val="000000"/>
          <w:szCs w:val="24"/>
        </w:rPr>
      </w:pPr>
      <w:r>
        <w:rPr>
          <w:rFonts w:hint="eastAsia" w:ascii="宋体" w:hAnsi="宋体" w:cs="宋体"/>
          <w:color w:val="000000"/>
          <w:szCs w:val="24"/>
        </w:rPr>
        <w:t xml:space="preserve">    </w:t>
      </w:r>
      <w:r>
        <w:rPr>
          <w:rFonts w:ascii="Calibri" w:hAnsi="Calibri" w:eastAsia="宋体" w:cs="Times New Roman"/>
          <w:kern w:val="0"/>
          <w:sz w:val="24"/>
          <w:szCs w:val="22"/>
          <w:lang w:val="en-US" w:eastAsia="zh-CN" w:bidi="ar-SA"/>
        </w:rPr>
        <w:pict>
          <v:shape id="图片 16" o:spid="_x0000_s1030" type="#_x0000_t75" style="height:198pt;width:450.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5"/>
        <w:widowControl/>
        <w:spacing w:line="360" w:lineRule="auto"/>
        <w:ind w:left="496" w:right="496"/>
        <w:rPr>
          <w:rFonts w:ascii="宋体" w:hAnsi="宋体" w:cs="宋体"/>
          <w:szCs w:val="24"/>
        </w:rPr>
      </w:pPr>
      <w:r>
        <w:rPr>
          <w:rFonts w:ascii="宋体" w:hAnsi="宋体" w:eastAsia="宋体" w:cs="宋体"/>
          <w:kern w:val="0"/>
          <w:sz w:val="24"/>
          <w:szCs w:val="24"/>
          <w:lang w:val="en-US" w:eastAsia="zh-CN" w:bidi="ar-SA"/>
        </w:rPr>
        <w:pict>
          <v:shape id="Picture 2" o:spid="_x0000_s1031" type="#_x0000_t75" style="height:180pt;width:447.75pt;rotation:0f;" o:ole="f" fillcolor="#FFFFFF" filled="f" o:preferrelative="t" stroked="f" coordorigin="0,0" coordsize="21600,21600">
            <v:fill on="f" color2="#FFFFFF" focus="0%"/>
            <v:imagedata gain="65536f" blacklevel="0f" gamma="0" o:title="PW2H92GT4LFYRQPR[(7A}@S" r:id="rId9"/>
            <o:lock v:ext="edit" position="f" selection="f" grouping="f" rotation="f" cropping="f" text="f" aspectratio="t"/>
            <w10:wrap type="none"/>
            <w10:anchorlock/>
          </v:shape>
        </w:pict>
      </w:r>
    </w:p>
    <w:p>
      <w:pPr>
        <w:pStyle w:val="5"/>
        <w:widowControl/>
        <w:spacing w:line="360" w:lineRule="auto"/>
        <w:ind w:left="496" w:right="496"/>
        <w:rPr>
          <w:rFonts w:ascii="宋体" w:hAnsi="宋体" w:cs="宋体"/>
          <w:color w:val="000000"/>
          <w:szCs w:val="24"/>
        </w:rPr>
      </w:pPr>
      <w:r>
        <w:rPr>
          <w:rFonts w:ascii="Calibri" w:hAnsi="Calibri" w:eastAsia="宋体" w:cs="Times New Roman"/>
          <w:kern w:val="0"/>
          <w:sz w:val="24"/>
          <w:szCs w:val="22"/>
          <w:lang w:val="en-US" w:eastAsia="zh-CN" w:bidi="ar-SA"/>
        </w:rPr>
        <w:pict>
          <v:shape id="图片 39" o:spid="_x0000_s1032" type="#_x0000_t75" style="height:191.25pt;width:446.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5"/>
        <w:widowControl/>
        <w:spacing w:line="360" w:lineRule="auto"/>
        <w:ind w:left="496" w:right="496"/>
        <w:rPr>
          <w:rFonts w:ascii="宋体" w:hAnsi="宋体" w:cs="宋体"/>
          <w:b/>
          <w:bCs/>
          <w:color w:val="000000"/>
          <w:szCs w:val="24"/>
        </w:rPr>
      </w:pPr>
    </w:p>
    <w:p>
      <w:pPr>
        <w:pStyle w:val="5"/>
        <w:widowControl/>
        <w:spacing w:line="360" w:lineRule="auto"/>
        <w:ind w:left="496" w:right="496"/>
        <w:rPr>
          <w:rFonts w:ascii="宋体" w:hAnsi="宋体" w:cs="宋体"/>
          <w:b/>
          <w:bCs/>
          <w:color w:val="0070C0"/>
          <w:szCs w:val="24"/>
        </w:rPr>
      </w:pPr>
      <w:r>
        <w:rPr>
          <w:rFonts w:hint="eastAsia" w:ascii="宋体" w:hAnsi="宋体" w:cs="宋体"/>
          <w:b/>
          <w:bCs/>
          <w:color w:val="0070C0"/>
          <w:szCs w:val="24"/>
        </w:rPr>
        <w:t>三、楼市回暖确定性逐渐增强</w:t>
      </w:r>
    </w:p>
    <w:p>
      <w:pPr>
        <w:pStyle w:val="5"/>
        <w:widowControl/>
        <w:spacing w:line="360" w:lineRule="auto"/>
        <w:ind w:right="496" w:firstLine="480" w:firstLineChars="200"/>
        <w:rPr>
          <w:rFonts w:ascii="宋体" w:hAnsi="宋体" w:cs="宋体"/>
          <w:color w:val="000000"/>
          <w:szCs w:val="24"/>
        </w:rPr>
      </w:pPr>
    </w:p>
    <w:p>
      <w:pPr>
        <w:spacing w:line="360" w:lineRule="auto"/>
        <w:rPr>
          <w:sz w:val="24"/>
          <w:szCs w:val="24"/>
        </w:rPr>
      </w:pPr>
      <w:r>
        <w:rPr>
          <w:rFonts w:hint="eastAsia"/>
          <w:sz w:val="24"/>
          <w:szCs w:val="24"/>
        </w:rPr>
        <w:t>随着房地产回暖确定性逐渐增强、避免股市泡沫化和明年经济的企稳，央行货币宽松的空间被压缩。房地产方面，国家统计局分析文章《楼市整体活跃度回升》中，从商品房待售面积首现减少、住宅销售面积呈现同比止跌、销售回升带动房价止跌回稳、房地产开发企业到位资金、土地购置面积和新开工面积等方面论证了房地产已经出现积极变化。</w:t>
      </w:r>
    </w:p>
    <w:p>
      <w:pPr>
        <w:pStyle w:val="5"/>
        <w:widowControl/>
        <w:spacing w:line="360" w:lineRule="auto"/>
        <w:ind w:right="496" w:firstLine="480" w:firstLineChars="200"/>
        <w:rPr>
          <w:rFonts w:ascii="宋体" w:hAnsi="宋体" w:cs="宋体"/>
          <w:color w:val="000000"/>
          <w:szCs w:val="24"/>
        </w:rPr>
      </w:pPr>
    </w:p>
    <w:p>
      <w:pPr>
        <w:pStyle w:val="5"/>
        <w:widowControl/>
        <w:spacing w:line="360" w:lineRule="auto"/>
        <w:ind w:right="496" w:firstLine="482" w:firstLineChars="200"/>
        <w:rPr>
          <w:rFonts w:ascii="宋体" w:hAnsi="宋体" w:cs="宋体"/>
          <w:b/>
          <w:bCs/>
          <w:color w:val="000000"/>
          <w:szCs w:val="24"/>
        </w:rPr>
      </w:pPr>
      <w:r>
        <w:rPr>
          <w:rFonts w:hint="eastAsia" w:ascii="宋体" w:hAnsi="宋体" w:cs="宋体"/>
          <w:b/>
          <w:bCs/>
          <w:color w:val="000000"/>
          <w:szCs w:val="24"/>
        </w:rPr>
        <w:t>6月18日国家统计局公布数据：2015年6月份70个大中城市住宅销售价格变动情况</w:t>
      </w:r>
    </w:p>
    <w:p>
      <w:pPr>
        <w:pStyle w:val="5"/>
        <w:widowControl/>
        <w:spacing w:line="360" w:lineRule="auto"/>
        <w:ind w:right="496" w:firstLine="482" w:firstLineChars="200"/>
        <w:rPr>
          <w:rFonts w:ascii="宋体" w:hAnsi="宋体" w:cs="宋体"/>
          <w:b/>
          <w:color w:val="000000"/>
          <w:szCs w:val="24"/>
        </w:rPr>
      </w:pPr>
    </w:p>
    <w:p>
      <w:pPr>
        <w:pStyle w:val="5"/>
        <w:widowControl/>
        <w:spacing w:line="360" w:lineRule="auto"/>
        <w:ind w:right="496" w:firstLine="482" w:firstLineChars="200"/>
        <w:rPr>
          <w:rFonts w:ascii="宋体" w:hAnsi="宋体" w:cs="宋体"/>
          <w:b/>
          <w:color w:val="000000"/>
          <w:szCs w:val="24"/>
        </w:rPr>
      </w:pPr>
      <w:r>
        <w:rPr>
          <w:rFonts w:hint="eastAsia" w:ascii="宋体" w:hAnsi="宋体" w:cs="宋体"/>
          <w:b/>
          <w:color w:val="000000"/>
          <w:szCs w:val="24"/>
        </w:rPr>
        <w:t>一、新建商品住宅（不含保障性住房）价格变动情况</w:t>
      </w:r>
    </w:p>
    <w:p>
      <w:pPr>
        <w:widowControl/>
        <w:wordWrap w:val="0"/>
        <w:spacing w:line="360" w:lineRule="auto"/>
        <w:jc w:val="left"/>
        <w:rPr>
          <w:rFonts w:ascii="宋体" w:hAnsi="宋体" w:cs="宋体"/>
          <w:color w:val="000000"/>
          <w:sz w:val="24"/>
          <w:szCs w:val="24"/>
        </w:rPr>
      </w:pPr>
      <w:r>
        <w:rPr>
          <w:rFonts w:hint="eastAsia" w:ascii="宋体" w:hAnsi="宋体" w:cs="宋体"/>
          <w:color w:val="000000"/>
          <w:kern w:val="0"/>
          <w:sz w:val="24"/>
          <w:szCs w:val="24"/>
        </w:rPr>
        <w:t>　　（一）与上月相比，70个大中城市中，价格下降的城市有34个，上涨的城市有27个，持平的城市有9个。环比价格变动中，最高涨幅为7.2%，最低为下降0.5%。</w:t>
      </w:r>
    </w:p>
    <w:p>
      <w:pPr>
        <w:widowControl/>
        <w:wordWrap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w:t>
      </w:r>
    </w:p>
    <w:p>
      <w:pPr>
        <w:widowControl/>
        <w:wordWrap w:val="0"/>
        <w:spacing w:line="360" w:lineRule="auto"/>
        <w:jc w:val="left"/>
        <w:rPr>
          <w:rFonts w:ascii="宋体" w:hAnsi="宋体" w:cs="宋体"/>
          <w:color w:val="000000"/>
          <w:kern w:val="0"/>
          <w:sz w:val="24"/>
          <w:szCs w:val="24"/>
        </w:rPr>
      </w:pPr>
    </w:p>
    <w:p>
      <w:pPr>
        <w:widowControl/>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（二）与去年同月相比，70个大中城市中，价格下降的城市有68个，上涨的城市有2个。6月份，同比价格变动中，最高涨幅为15.9%，最低为下降9.8%。</w:t>
      </w:r>
    </w:p>
    <w:p>
      <w:pPr>
        <w:widowControl/>
        <w:wordWrap w:val="0"/>
        <w:spacing w:line="360" w:lineRule="auto"/>
        <w:jc w:val="left"/>
        <w:rPr>
          <w:rFonts w:ascii="宋体" w:hAnsi="宋体" w:cs="宋体"/>
          <w:b/>
          <w:color w:val="000000"/>
          <w:sz w:val="24"/>
          <w:szCs w:val="24"/>
        </w:rPr>
      </w:pPr>
      <w:r>
        <w:rPr>
          <w:rFonts w:hint="eastAsia" w:ascii="宋体" w:hAnsi="宋体" w:cs="宋体"/>
          <w:b/>
          <w:color w:val="000000"/>
          <w:kern w:val="0"/>
          <w:sz w:val="24"/>
          <w:szCs w:val="24"/>
        </w:rPr>
        <w:t>　　二、二手住宅价格变动情况</w:t>
      </w:r>
    </w:p>
    <w:p>
      <w:pPr>
        <w:widowControl/>
        <w:wordWrap w:val="0"/>
        <w:spacing w:line="360" w:lineRule="auto"/>
        <w:jc w:val="left"/>
        <w:rPr>
          <w:rFonts w:ascii="宋体" w:hAnsi="宋体" w:cs="宋体"/>
          <w:color w:val="000000"/>
          <w:sz w:val="24"/>
          <w:szCs w:val="24"/>
        </w:rPr>
      </w:pPr>
      <w:r>
        <w:rPr>
          <w:rFonts w:hint="eastAsia" w:ascii="宋体" w:hAnsi="宋体" w:cs="宋体"/>
          <w:color w:val="000000"/>
          <w:kern w:val="0"/>
          <w:sz w:val="24"/>
          <w:szCs w:val="24"/>
        </w:rPr>
        <w:t>　　（一）与上月相比，70个大中城市中，价格下降的城市有20个，上涨的城市有42个，持平的城市有8个。环比价格变动中，最高涨幅为6.9%，最低为下降0.8%。</w:t>
      </w:r>
    </w:p>
    <w:p>
      <w:pPr>
        <w:widowControl/>
        <w:wordWrap w:val="0"/>
        <w:spacing w:line="360" w:lineRule="auto"/>
        <w:ind w:firstLine="480"/>
        <w:jc w:val="left"/>
        <w:rPr>
          <w:rFonts w:ascii="宋体" w:hAnsi="宋体" w:cs="宋体"/>
          <w:color w:val="000000"/>
          <w:sz w:val="24"/>
          <w:szCs w:val="24"/>
        </w:rPr>
      </w:pPr>
      <w:r>
        <w:rPr>
          <w:rFonts w:hint="eastAsia" w:ascii="宋体" w:hAnsi="宋体" w:cs="宋体"/>
          <w:color w:val="000000"/>
          <w:kern w:val="0"/>
          <w:sz w:val="24"/>
          <w:szCs w:val="24"/>
        </w:rPr>
        <w:t>（二）与去年同月相比，70个大中城市中，价格下降的城市有66个，上涨的城市有4个。6月份，同比价格变动中，最高涨幅为17.3%，最低为下降11.4%。</w:t>
      </w:r>
    </w:p>
    <w:p>
      <w:pPr>
        <w:pStyle w:val="5"/>
        <w:widowControl/>
        <w:spacing w:line="360" w:lineRule="auto"/>
        <w:ind w:left="496" w:right="496"/>
        <w:rPr>
          <w:rFonts w:ascii="宋体" w:hAnsi="宋体" w:cs="宋体"/>
          <w:color w:val="000000"/>
          <w:szCs w:val="24"/>
        </w:rPr>
      </w:pPr>
    </w:p>
    <w:p>
      <w:pPr>
        <w:pStyle w:val="5"/>
        <w:widowControl/>
        <w:spacing w:line="360" w:lineRule="auto"/>
        <w:ind w:right="496"/>
        <w:rPr>
          <w:rFonts w:ascii="宋体" w:hAnsi="宋体" w:cs="宋体"/>
          <w:b/>
          <w:bCs/>
          <w:color w:val="0070C0"/>
          <w:szCs w:val="24"/>
        </w:rPr>
      </w:pPr>
      <w:r>
        <w:rPr>
          <w:rFonts w:hint="eastAsia" w:ascii="宋体" w:hAnsi="宋体" w:cs="宋体"/>
          <w:color w:val="000000"/>
          <w:szCs w:val="24"/>
        </w:rPr>
        <w:t xml:space="preserve">    </w:t>
      </w:r>
      <w:r>
        <w:rPr>
          <w:rFonts w:hint="eastAsia" w:ascii="宋体" w:hAnsi="宋体" w:cs="宋体"/>
          <w:b/>
          <w:bCs/>
          <w:color w:val="0070C0"/>
          <w:szCs w:val="24"/>
        </w:rPr>
        <w:t xml:space="preserve"> 四、货币政策将出现拐点</w:t>
      </w:r>
    </w:p>
    <w:p>
      <w:pPr>
        <w:pStyle w:val="5"/>
        <w:widowControl/>
        <w:spacing w:line="360" w:lineRule="auto"/>
        <w:ind w:right="496"/>
        <w:rPr>
          <w:rFonts w:ascii="宋体" w:hAnsi="宋体" w:cs="宋体"/>
          <w:color w:val="000000"/>
          <w:szCs w:val="24"/>
        </w:rPr>
      </w:pPr>
      <w:r>
        <w:rPr>
          <w:rFonts w:hint="eastAsia" w:ascii="宋体" w:hAnsi="宋体" w:cs="宋体"/>
          <w:color w:val="000000"/>
          <w:szCs w:val="24"/>
        </w:rPr>
        <w:t xml:space="preserve">  </w:t>
      </w:r>
    </w:p>
    <w:p>
      <w:pPr>
        <w:spacing w:line="360" w:lineRule="auto"/>
        <w:rPr>
          <w:rFonts w:hint="eastAsia" w:ascii="宋体" w:hAnsi="宋体" w:eastAsia="宋体" w:cs="宋体"/>
          <w:sz w:val="24"/>
          <w:szCs w:val="24"/>
        </w:rPr>
      </w:pPr>
      <w:r>
        <w:rPr>
          <w:rFonts w:hint="eastAsia" w:ascii="宋体" w:hAnsi="宋体" w:cs="宋体"/>
          <w:color w:val="000000"/>
          <w:szCs w:val="24"/>
        </w:rPr>
        <w:t xml:space="preserve">  </w:t>
      </w:r>
      <w:r>
        <w:rPr>
          <w:rFonts w:hint="eastAsia" w:ascii="宋体" w:hAnsi="宋体" w:eastAsia="宋体" w:cs="宋体"/>
          <w:sz w:val="24"/>
          <w:szCs w:val="24"/>
        </w:rPr>
        <w:t xml:space="preserve">  经济基本面方面，随着4月以来工业增加值底部企稳，6月汇丰制造业PMI初值也较前值明显上行，基本面企稳回升的迹象已经显露。在央行的工作报告《2015年中国宏观经济预测》中，央行研究局首席经济学家马骏预测“由于稳增长政策的时滞效应、房地产市场企稳以及世界经济复苏等原因，下半年我国经济环比增速将会略高于上半年”。因此，房地产回暖、股市泡沫和经济企稳回升都限制了央行进一步放松货币政策的空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货币政策拐点即将出现：随着房地产回暖、股市需避免泡沫化、经济企稳回升，央行货币政策进入利率走廊调控模式，大规模的总量型货币政策调控接近尾声，资金利率的趋势性拐点已经出现。</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回顾2014年6月份开始的“改革牛”，央行货币政策是最重要的因素。逻辑上讲，股票牛市需要宽松的流动性。一个显著的现象是，每一次降准降息之后，股票就开始新一轮的上涨；所以，在降准降息周期内，“牛市基础”是成立的。</w:t>
      </w:r>
    </w:p>
    <w:p>
      <w:pPr>
        <w:pStyle w:val="5"/>
        <w:widowControl/>
        <w:spacing w:line="360" w:lineRule="auto"/>
        <w:ind w:left="496" w:right="496" w:firstLine="465"/>
      </w:pPr>
      <w:r>
        <w:rPr>
          <w:rFonts w:ascii="Calibri" w:hAnsi="Calibri" w:eastAsia="宋体" w:cs="Times New Roman"/>
          <w:kern w:val="0"/>
          <w:sz w:val="24"/>
          <w:szCs w:val="22"/>
          <w:lang w:val="en-US" w:eastAsia="zh-CN" w:bidi="ar-SA"/>
        </w:rPr>
        <w:pict>
          <v:shape id="图片 38" o:spid="_x0000_s1033" type="#_x0000_t75" style="height:148.5pt;width:444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5"/>
        <w:widowControl/>
        <w:spacing w:line="360" w:lineRule="auto"/>
        <w:ind w:left="496" w:right="496" w:firstLine="465"/>
        <w:rPr>
          <w:rFonts w:ascii="宋体" w:hAnsi="宋体" w:cs="宋体"/>
          <w:color w:val="000000"/>
          <w:szCs w:val="24"/>
        </w:rPr>
      </w:pPr>
      <w:r>
        <w:rPr>
          <w:rFonts w:ascii="Calibri" w:hAnsi="Calibri" w:eastAsia="宋体" w:cs="Times New Roman"/>
          <w:kern w:val="0"/>
          <w:sz w:val="24"/>
          <w:szCs w:val="22"/>
          <w:lang w:val="en-US" w:eastAsia="zh-CN" w:bidi="ar-SA"/>
        </w:rPr>
        <w:pict>
          <v:shape id="图片 37" o:spid="_x0000_s1034" type="#_x0000_t75" style="height:170.25pt;width:444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5"/>
        <w:widowControl/>
        <w:spacing w:line="360" w:lineRule="auto"/>
        <w:ind w:left="496" w:right="496"/>
        <w:rPr>
          <w:rFonts w:ascii="宋体" w:hAnsi="宋体" w:cs="宋体"/>
          <w:color w:val="000000"/>
          <w:szCs w:val="24"/>
        </w:rPr>
      </w:pPr>
      <w:r>
        <w:rPr>
          <w:rFonts w:hint="eastAsia" w:ascii="宋体" w:hAnsi="宋体" w:cs="宋体"/>
          <w:color w:val="000000"/>
          <w:szCs w:val="24"/>
        </w:rPr>
        <w:t xml:space="preserve">    </w:t>
      </w:r>
    </w:p>
    <w:p>
      <w:pPr>
        <w:spacing w:line="360" w:lineRule="auto"/>
        <w:rPr>
          <w:rFonts w:hint="eastAsia" w:ascii="宋体" w:hAnsi="宋体" w:eastAsia="宋体" w:cs="宋体"/>
          <w:sz w:val="24"/>
          <w:szCs w:val="24"/>
        </w:rPr>
      </w:pPr>
      <w:r>
        <w:rPr>
          <w:rFonts w:hint="eastAsia" w:ascii="宋体" w:hAnsi="宋体" w:cs="宋体"/>
          <w:color w:val="000000"/>
          <w:szCs w:val="24"/>
        </w:rPr>
        <w:t xml:space="preserve">    </w:t>
      </w:r>
      <w:r>
        <w:rPr>
          <w:rFonts w:hint="eastAsia" w:ascii="宋体" w:hAnsi="宋体" w:eastAsia="宋体" w:cs="宋体"/>
          <w:sz w:val="24"/>
          <w:szCs w:val="24"/>
        </w:rPr>
        <w:t>在货币政策出现变化时，“改革牛”的根基也将出现变化。我们可以明显的发现，6月的股票大跌与7天回购利率的上行几乎是完全同步的。如果资金利率中枢的上行是趋势性的，那么增量资金入市将难度更大。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更为重要的是，之前每一次股市暂停上涨后，都是由货币政策操作（降准或降息）催化新的一轮股市上涨。如果总量型货币政策操作接近尾声，那么下一轮股市上涨的触发的难度将显著增大。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上证综指自年初以来一路上行至5178点的最高位置，目前虽然有所回落，但累计涨幅依然超过了30%；在大盘和创业板点位已经很高的情况下，央行是否会继续推波助澜，需要谨慎考虑。</w:t>
      </w:r>
    </w:p>
    <w:p>
      <w:pPr>
        <w:pStyle w:val="5"/>
        <w:widowControl/>
        <w:spacing w:line="360" w:lineRule="auto"/>
        <w:ind w:right="496"/>
        <w:rPr>
          <w:rFonts w:ascii="宋体" w:hAnsi="宋体" w:cs="宋体"/>
          <w:color w:val="000000"/>
          <w:szCs w:val="24"/>
        </w:rPr>
      </w:pPr>
      <w:r>
        <w:rPr>
          <w:rFonts w:hint="eastAsia" w:ascii="宋体" w:hAnsi="宋体" w:cs="宋体"/>
          <w:color w:val="000000"/>
          <w:szCs w:val="24"/>
        </w:rPr>
        <w:t xml:space="preserve">  </w:t>
      </w:r>
    </w:p>
    <w:p>
      <w:pPr>
        <w:pStyle w:val="5"/>
        <w:widowControl/>
        <w:spacing w:line="360" w:lineRule="auto"/>
        <w:ind w:right="496"/>
        <w:rPr>
          <w:rFonts w:ascii="宋体" w:hAnsi="宋体" w:cs="宋体"/>
          <w:b/>
          <w:bCs/>
          <w:color w:val="0070C0"/>
          <w:szCs w:val="24"/>
        </w:rPr>
      </w:pPr>
      <w:r>
        <w:rPr>
          <w:rFonts w:hint="eastAsia" w:ascii="宋体" w:hAnsi="宋体" w:cs="宋体"/>
          <w:color w:val="000000"/>
          <w:szCs w:val="24"/>
        </w:rPr>
        <w:t xml:space="preserve">   </w:t>
      </w:r>
      <w:r>
        <w:rPr>
          <w:rFonts w:hint="eastAsia" w:ascii="宋体" w:hAnsi="宋体" w:cs="宋体"/>
          <w:b/>
          <w:bCs/>
          <w:color w:val="0070C0"/>
          <w:szCs w:val="24"/>
        </w:rPr>
        <w:t xml:space="preserve"> 五、股票市场去杠杆化</w:t>
      </w:r>
    </w:p>
    <w:p>
      <w:pPr>
        <w:pStyle w:val="5"/>
        <w:widowControl/>
        <w:spacing w:after="376" w:line="360" w:lineRule="atLeast"/>
        <w:rPr>
          <w:rFonts w:ascii="宋体" w:hAnsi="宋体" w:cs="宋体"/>
          <w:color w:val="000000"/>
          <w:szCs w:val="24"/>
        </w:rPr>
      </w:pPr>
      <w:r>
        <w:rPr>
          <w:rFonts w:hint="eastAsia" w:ascii="宋体" w:hAnsi="宋体" w:cs="宋体"/>
          <w:color w:val="000000"/>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近期，证监会发布《关于清理整顿违法从事证券业务活动的意见》，再次要求派出机构和证券公司加强对场外配资业务的清理整顿力度。证监会将继续依法履行监管职能，抑制违反账户实名制的场外配资活动，同时坚决打击市场违法违规。</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【融资融券数据】从今年6月份融资余额2.27万亿骤降到现在的1.4万亿左右，自最高峰时的2.27万亿已经下降了8000多亿元。（详见图表）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股市赚快钱的阶段已经成为过去，大量杠杆资金因为有资金的时间成本，预计会逐渐采取提前结束操作归还资金的策略，也就是说，股市去杠杆的过程开始出现逐渐加速的拐点，这也正是监管层所期望出现的回归理性的积极进展。（资金流向情况，详见图表）</w:t>
      </w:r>
    </w:p>
    <w:p>
      <w:pPr>
        <w:rPr>
          <w:rFonts w:ascii="宋体" w:hAnsi="宋体" w:cs="宋体"/>
          <w:color w:val="000000"/>
          <w:szCs w:val="24"/>
        </w:rPr>
      </w:pPr>
      <w:r>
        <w:rPr>
          <w:rFonts w:hint="eastAsia" w:ascii="宋体" w:hAnsi="宋体" w:cs="宋体"/>
          <w:color w:val="000000"/>
          <w:szCs w:val="24"/>
        </w:rPr>
        <w:t xml:space="preserve">       </w:t>
      </w:r>
    </w:p>
    <w:p>
      <w:pPr>
        <w:rPr>
          <w:rFonts w:ascii="宋体" w:hAnsi="宋体" w:cs="宋体"/>
          <w:color w:val="000000"/>
          <w:szCs w:val="24"/>
        </w:rPr>
      </w:pPr>
    </w:p>
    <w:p>
      <w:pPr>
        <w:rPr>
          <w:rFonts w:ascii="宋体" w:hAnsi="宋体" w:cs="宋体"/>
          <w:color w:val="000000"/>
          <w:szCs w:val="24"/>
        </w:rPr>
      </w:pPr>
    </w:p>
    <w:p>
      <w:pPr>
        <w:jc w:val="center"/>
        <w:rPr>
          <w:rFonts w:ascii="宋体" w:hAnsi="宋体" w:cs="宋体"/>
          <w:kern w:val="0"/>
          <w:sz w:val="24"/>
          <w:szCs w:val="24"/>
        </w:rPr>
      </w:pPr>
      <w:r>
        <w:rPr>
          <w:rFonts w:ascii="宋体" w:hAnsi="宋体" w:eastAsia="宋体" w:cs="宋体"/>
          <w:kern w:val="0"/>
          <w:sz w:val="24"/>
          <w:szCs w:val="24"/>
          <w:lang w:val="en-US" w:eastAsia="zh-CN" w:bidi="ar-SA"/>
        </w:rPr>
        <w:pict>
          <v:shape id="Picture 6" o:spid="_x0000_s1035" type="#_x0000_t75" style="height:219pt;width:468.75pt;rotation:0f;" o:ole="f" fillcolor="#FFFFFF" filled="f" o:preferrelative="t" stroked="f" coordorigin="0,0" coordsize="21600,21600">
            <v:fill on="f" color2="#FFFFFF" focus="0%"/>
            <v:imagedata gain="65536f" blacklevel="0f" gamma="0" o:title="C:/Users/Administrator/Documents/Tencent%20Files/344021639/Image/C2C/5%7bZFQ$06N@JVEWBN%7dWKP@AB.png" r:id="rId13" r:href="rId14"/>
            <o:lock v:ext="edit" position="f" selection="f" grouping="f" rotation="f" cropping="f" text="f" aspectratio="t"/>
            <w10:wrap type="none"/>
            <w10:anchorlock/>
          </v:shape>
        </w:pict>
      </w:r>
    </w:p>
    <w:p>
      <w:pPr>
        <w:pStyle w:val="5"/>
        <w:widowControl/>
        <w:spacing w:line="360" w:lineRule="auto"/>
        <w:ind w:right="496" w:firstLine="465"/>
        <w:jc w:val="both"/>
        <w:rPr>
          <w:rFonts w:ascii="宋体" w:hAnsi="宋体" w:cs="宋体"/>
          <w:b/>
          <w:color w:val="0070C0"/>
          <w:szCs w:val="24"/>
        </w:rPr>
      </w:pPr>
      <w:r>
        <w:rPr>
          <w:rFonts w:hint="eastAsia" w:ascii="宋体" w:hAnsi="宋体" w:cs="宋体"/>
          <w:b/>
          <w:color w:val="0070C0"/>
          <w:szCs w:val="24"/>
        </w:rPr>
        <w:t>六、下半年CPI预期</w:t>
      </w:r>
    </w:p>
    <w:p>
      <w:pPr>
        <w:shd w:val="clear" w:color="auto" w:fill="FFFFFF"/>
        <w:spacing w:line="360" w:lineRule="auto"/>
        <w:ind w:firstLine="420" w:firstLineChars="200"/>
        <w:jc w:val="both"/>
        <w:rPr>
          <w:rFonts w:ascii="Tahoma" w:hAnsi="Tahoma" w:cs="Tahoma"/>
          <w:color w:val="000000"/>
        </w:rPr>
      </w:pPr>
      <w:r>
        <w:rPr>
          <w:rFonts w:ascii="Tahoma" w:hAnsi="Tahoma" w:cs="Tahoma"/>
          <w:color w:val="000000"/>
        </w:rPr>
        <w:t>今年以来，国内猪肉价格一反过去三年的跌势，大幅反弹。短短数月，猪肉涨幅已超30%，</w:t>
      </w:r>
      <w:r>
        <w:fldChar w:fldCharType="begin"/>
      </w:r>
      <w:r>
        <w:instrText xml:space="preserve">HYPERLINK "http://mp.weixin.qq.com/s?__biz=MjM5NzAwMzU0MA==&amp;mid=525518957&amp;idx=2&amp;sn=74b9859158ee9847ed7367ddeb69d0e4&amp;scene=5" \l "rd" </w:instrText>
      </w:r>
      <w:r>
        <w:fldChar w:fldCharType="separate"/>
      </w:r>
      <w:r>
        <w:rPr>
          <w:rFonts w:ascii="Tahoma" w:hAnsi="Tahoma" w:cs="Tahoma"/>
          <w:color w:val="000000"/>
        </w:rPr>
        <w:t>创下三年内新高</w:t>
      </w:r>
      <w:r>
        <w:fldChar w:fldCharType="end"/>
      </w:r>
      <w:r>
        <w:rPr>
          <w:rFonts w:ascii="Tahoma" w:hAnsi="Tahoma" w:cs="Tahoma"/>
          <w:color w:val="000000"/>
        </w:rPr>
        <w:t>。猪肉在CPI中权重较大，</w:t>
      </w:r>
      <w:r>
        <w:rPr>
          <w:rFonts w:hint="eastAsia" w:ascii="Tahoma" w:hAnsi="Tahoma" w:cs="Tahoma"/>
          <w:color w:val="000000"/>
        </w:rPr>
        <w:t>占比10%。</w:t>
      </w:r>
    </w:p>
    <w:p>
      <w:pPr>
        <w:shd w:val="clear" w:color="auto" w:fill="FFFFFF"/>
        <w:spacing w:line="360" w:lineRule="auto"/>
        <w:ind w:firstLine="360" w:firstLineChars="150"/>
        <w:jc w:val="both"/>
        <w:rPr>
          <w:rFonts w:ascii="Tahoma" w:hAnsi="Tahoma" w:cs="Tahoma"/>
          <w:color w:val="000000"/>
          <w:kern w:val="0"/>
          <w:sz w:val="24"/>
          <w:szCs w:val="24"/>
        </w:rPr>
      </w:pPr>
      <w:r>
        <w:rPr>
          <w:rFonts w:ascii="Tahoma" w:hAnsi="Tahoma" w:cs="Tahoma"/>
          <w:color w:val="000000"/>
          <w:kern w:val="0"/>
          <w:sz w:val="24"/>
          <w:szCs w:val="24"/>
        </w:rPr>
        <w:t>猪养殖成本的上升或促使这轮猪周期的高点突破2011年高点，突破30元/千克。和2011年那轮猪周期相比，养猪的劳动力成本和饲料成本都有了很大的提高。养殖成本的提高将促使这轮猪周期猪</w:t>
      </w:r>
    </w:p>
    <w:p>
      <w:pPr>
        <w:shd w:val="clear" w:color="auto" w:fill="FFFFFF"/>
        <w:spacing w:line="360" w:lineRule="auto"/>
        <w:ind w:firstLine="360" w:firstLineChars="150"/>
        <w:jc w:val="both"/>
        <w:rPr>
          <w:rFonts w:ascii="Tahoma" w:hAnsi="Tahoma" w:cs="Tahoma"/>
          <w:color w:val="000000"/>
          <w:kern w:val="0"/>
          <w:sz w:val="24"/>
          <w:szCs w:val="24"/>
        </w:rPr>
      </w:pPr>
      <w:r>
        <w:rPr>
          <w:rFonts w:ascii="Tahoma" w:hAnsi="Tahoma" w:cs="Tahoma"/>
          <w:color w:val="000000"/>
          <w:kern w:val="0"/>
          <w:sz w:val="24"/>
          <w:szCs w:val="24"/>
        </w:rPr>
        <w:t>肉价格反弹至更高高度，至少会超过2011年猪周期的波峰，这意味着超越30元/千克可能性很大。</w:t>
      </w:r>
    </w:p>
    <w:p>
      <w:pPr>
        <w:shd w:val="clear" w:color="auto" w:fill="FFFFFF"/>
        <w:spacing w:line="360" w:lineRule="auto"/>
        <w:ind w:firstLine="360" w:firstLineChars="150"/>
        <w:jc w:val="both"/>
        <w:rPr>
          <w:rFonts w:ascii="Tahoma" w:hAnsi="Tahoma" w:cs="Tahoma"/>
          <w:color w:val="000000"/>
          <w:kern w:val="0"/>
          <w:sz w:val="24"/>
          <w:szCs w:val="24"/>
        </w:rPr>
      </w:pPr>
      <w:r>
        <w:rPr>
          <w:rFonts w:ascii="Tahoma" w:hAnsi="Tahoma" w:cs="Tahoma"/>
          <w:color w:val="000000"/>
          <w:kern w:val="0"/>
          <w:sz w:val="24"/>
          <w:szCs w:val="24"/>
        </w:rPr>
        <w:t>另外有三个因素也促使猪价上涨能够持续：</w:t>
      </w:r>
    </w:p>
    <w:p>
      <w:pPr>
        <w:widowControl/>
        <w:shd w:val="clear" w:color="auto" w:fill="FFFFFF"/>
        <w:spacing w:line="360" w:lineRule="auto"/>
        <w:jc w:val="left"/>
        <w:rPr>
          <w:rFonts w:ascii="Tahoma" w:hAnsi="Tahoma" w:cs="Tahoma"/>
          <w:color w:val="000000"/>
          <w:kern w:val="0"/>
          <w:sz w:val="24"/>
          <w:szCs w:val="24"/>
        </w:rPr>
      </w:pPr>
      <w:r>
        <w:rPr>
          <w:rFonts w:hint="eastAsia" w:ascii="Tahoma" w:hAnsi="Tahoma" w:cs="Tahoma"/>
          <w:color w:val="000000"/>
          <w:kern w:val="0"/>
          <w:sz w:val="24"/>
          <w:szCs w:val="24"/>
        </w:rPr>
        <w:t xml:space="preserve">    </w:t>
      </w:r>
      <w:r>
        <w:rPr>
          <w:rFonts w:ascii="Calibri" w:hAnsi="Calibri" w:eastAsia="宋体" w:cs="Times New Roman"/>
          <w:kern w:val="2"/>
          <w:sz w:val="21"/>
          <w:szCs w:val="22"/>
          <w:lang w:val="en-US" w:eastAsia="zh-CN" w:bidi="ar-SA"/>
        </w:rPr>
        <w:pict>
          <v:shape id="图片 20" o:spid="_x0000_s1036" type="#_x0000_t75" style="height:164.25pt;width:45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shd w:val="clear" w:color="auto" w:fill="FFFFFF"/>
        <w:spacing w:line="360" w:lineRule="auto"/>
        <w:ind w:firstLine="480" w:firstLineChars="200"/>
        <w:jc w:val="left"/>
        <w:rPr>
          <w:rFonts w:ascii="Tahoma" w:hAnsi="Tahoma" w:cs="Tahoma"/>
          <w:color w:val="000000"/>
          <w:kern w:val="0"/>
          <w:sz w:val="24"/>
          <w:szCs w:val="24"/>
        </w:rPr>
      </w:pPr>
      <w:r>
        <w:rPr>
          <w:rFonts w:hint="eastAsia" w:ascii="Tahoma" w:hAnsi="Tahoma" w:cs="Tahoma"/>
          <w:color w:val="000000"/>
          <w:kern w:val="0"/>
          <w:sz w:val="24"/>
          <w:szCs w:val="24"/>
        </w:rPr>
        <w:t>1、</w:t>
      </w:r>
      <w:r>
        <w:rPr>
          <w:rFonts w:ascii="Tahoma" w:hAnsi="Tahoma" w:cs="Tahoma"/>
          <w:color w:val="000000"/>
          <w:kern w:val="0"/>
          <w:sz w:val="24"/>
          <w:szCs w:val="24"/>
        </w:rPr>
        <w:t>截至2015年6月，母猪和能繁母猪存栏量还在持续下降，已经远远超过之前有存栏量数据记录以来的最低点；</w:t>
      </w:r>
    </w:p>
    <w:p>
      <w:pPr>
        <w:widowControl/>
        <w:shd w:val="clear" w:color="auto" w:fill="FFFFFF"/>
        <w:spacing w:line="360" w:lineRule="auto"/>
        <w:ind w:firstLine="480" w:firstLineChars="200"/>
        <w:jc w:val="left"/>
        <w:rPr>
          <w:rFonts w:ascii="Tahoma" w:hAnsi="Tahoma" w:cs="Tahoma"/>
          <w:color w:val="000000"/>
          <w:kern w:val="0"/>
          <w:sz w:val="24"/>
          <w:szCs w:val="24"/>
        </w:rPr>
      </w:pPr>
      <w:r>
        <w:rPr>
          <w:rFonts w:hint="eastAsia" w:ascii="Tahoma" w:hAnsi="Tahoma" w:cs="Tahoma"/>
          <w:color w:val="000000"/>
          <w:kern w:val="0"/>
          <w:sz w:val="24"/>
          <w:szCs w:val="24"/>
        </w:rPr>
        <w:t>2、</w:t>
      </w:r>
      <w:r>
        <w:rPr>
          <w:rFonts w:ascii="Tahoma" w:hAnsi="Tahoma" w:cs="Tahoma"/>
          <w:color w:val="000000"/>
          <w:kern w:val="0"/>
          <w:sz w:val="24"/>
          <w:szCs w:val="24"/>
        </w:rPr>
        <w:t>自2014年8月份开始，餐饮消费增速开始回归常态，“八项规定”的边际影响正在递减；</w:t>
      </w:r>
    </w:p>
    <w:p>
      <w:pPr>
        <w:widowControl/>
        <w:shd w:val="clear" w:color="auto" w:fill="FFFFFF"/>
        <w:spacing w:line="360" w:lineRule="auto"/>
        <w:ind w:firstLine="480" w:firstLineChars="200"/>
        <w:jc w:val="left"/>
        <w:rPr>
          <w:rFonts w:ascii="Tahoma" w:hAnsi="Tahoma" w:cs="Tahoma"/>
          <w:color w:val="000000"/>
          <w:kern w:val="0"/>
          <w:sz w:val="24"/>
          <w:szCs w:val="24"/>
        </w:rPr>
      </w:pPr>
      <w:r>
        <w:rPr>
          <w:rFonts w:hint="eastAsia" w:ascii="Tahoma" w:hAnsi="Tahoma" w:cs="Tahoma"/>
          <w:color w:val="000000"/>
          <w:kern w:val="0"/>
          <w:sz w:val="24"/>
          <w:szCs w:val="24"/>
        </w:rPr>
        <w:t>3、</w:t>
      </w:r>
      <w:r>
        <w:rPr>
          <w:rFonts w:ascii="Tahoma" w:hAnsi="Tahoma" w:cs="Tahoma"/>
          <w:color w:val="000000"/>
          <w:kern w:val="0"/>
          <w:sz w:val="24"/>
          <w:szCs w:val="24"/>
        </w:rPr>
        <w:t>进入2015年以来，经济运行平稳，需求端对猪肉价格的压制力量开始减弱。</w:t>
      </w:r>
    </w:p>
    <w:p>
      <w:pPr>
        <w:shd w:val="clear" w:color="auto" w:fill="FFFFFF"/>
        <w:spacing w:line="360" w:lineRule="auto"/>
        <w:rPr>
          <w:rFonts w:ascii="Tahoma" w:hAnsi="Tahoma" w:cs="Tahoma"/>
          <w:color w:val="000000"/>
        </w:rPr>
      </w:pPr>
      <w:r>
        <w:rPr>
          <w:rFonts w:hint="eastAsia" w:ascii="Tahoma" w:hAnsi="Tahoma" w:cs="Tahoma"/>
          <w:color w:val="000000"/>
        </w:rPr>
        <w:t xml:space="preserve">     </w:t>
      </w:r>
    </w:p>
    <w:p>
      <w:pPr>
        <w:shd w:val="clear" w:color="auto" w:fill="FFFFFF"/>
        <w:spacing w:line="360" w:lineRule="auto"/>
        <w:ind w:firstLine="600" w:firstLineChars="250"/>
        <w:rPr>
          <w:rFonts w:ascii="Tahoma" w:hAnsi="Tahoma" w:cs="Tahoma"/>
          <w:color w:val="000000"/>
          <w:kern w:val="0"/>
          <w:sz w:val="24"/>
          <w:szCs w:val="24"/>
        </w:rPr>
      </w:pPr>
      <w:r>
        <w:rPr>
          <w:rFonts w:hint="eastAsia" w:ascii="Tahoma" w:hAnsi="Tahoma" w:cs="Tahoma"/>
          <w:color w:val="000000"/>
          <w:kern w:val="0"/>
          <w:sz w:val="24"/>
          <w:szCs w:val="24"/>
        </w:rPr>
        <w:t>今年</w:t>
      </w:r>
      <w:r>
        <w:rPr>
          <w:rFonts w:ascii="Tahoma" w:hAnsi="Tahoma" w:cs="Tahoma"/>
          <w:color w:val="000000"/>
          <w:kern w:val="0"/>
          <w:sz w:val="24"/>
          <w:szCs w:val="24"/>
        </w:rPr>
        <w:t>1月份CPI同比为0.8%，2-6月份CPI在1.5%左右波动，这也导致了市场对后半年CPI预期比较低。猪价的飞涨可能导致CPI涨幅超出市场预期，预计猪肉对CPI的拉动呈上升趋势，由于猪肉在CPI的权重为2.9%，这会拉动7-12月份CPI同比将逐渐上升，12月份CPI有可能达到3.0%左右，全年CPI(月度同比的平均值)有可能达到2.0%左右。</w:t>
      </w:r>
    </w:p>
    <w:p>
      <w:pPr>
        <w:pStyle w:val="5"/>
        <w:widowControl/>
        <w:spacing w:line="360" w:lineRule="auto"/>
        <w:ind w:right="496"/>
        <w:rPr>
          <w:rFonts w:ascii="宋体" w:hAnsi="宋体" w:cs="宋体"/>
          <w:color w:val="000000"/>
          <w:szCs w:val="24"/>
        </w:rPr>
      </w:pPr>
      <w:r>
        <w:rPr>
          <w:rFonts w:hint="eastAsia" w:ascii="宋体" w:hAnsi="宋体" w:cs="宋体"/>
          <w:color w:val="000000"/>
          <w:szCs w:val="24"/>
        </w:rPr>
        <w:t xml:space="preserve">     </w:t>
      </w:r>
      <w:r>
        <w:rPr>
          <w:rFonts w:ascii="宋体" w:hAnsi="宋体" w:eastAsia="宋体" w:cs="宋体"/>
          <w:color w:val="000000"/>
          <w:kern w:val="0"/>
          <w:sz w:val="24"/>
          <w:szCs w:val="24"/>
          <w:lang w:val="en-US" w:eastAsia="zh-CN" w:bidi="ar-SA"/>
        </w:rPr>
        <w:pict>
          <v:shape id="图片 8" o:spid="_x0000_s1037" type="#_x0000_t75" style="height:247.5pt;width:409.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pStyle w:val="5"/>
        <w:widowControl/>
        <w:spacing w:line="360" w:lineRule="auto"/>
        <w:ind w:right="496" w:firstLine="1080" w:firstLineChars="450"/>
        <w:rPr>
          <w:rFonts w:ascii="宋体" w:hAnsi="宋体" w:cs="宋体"/>
          <w:color w:val="000000"/>
          <w:szCs w:val="24"/>
        </w:rPr>
      </w:pPr>
      <w:r>
        <w:rPr>
          <w:rFonts w:ascii="宋体" w:hAnsi="宋体" w:eastAsia="宋体" w:cs="宋体"/>
          <w:color w:val="000000"/>
          <w:kern w:val="0"/>
          <w:sz w:val="24"/>
          <w:szCs w:val="24"/>
          <w:lang w:val="en-US" w:eastAsia="zh-CN" w:bidi="ar-SA"/>
        </w:rPr>
        <w:pict>
          <v:shape id="图片 9" o:spid="_x0000_s1038" type="#_x0000_t75" style="height:228.75pt;width:40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5"/>
        <w:widowControl/>
        <w:spacing w:line="360" w:lineRule="auto"/>
        <w:ind w:right="496" w:firstLine="1080" w:firstLineChars="450"/>
        <w:rPr>
          <w:rFonts w:ascii="宋体" w:hAnsi="宋体" w:cs="宋体"/>
          <w:color w:val="000000"/>
          <w:szCs w:val="24"/>
        </w:rPr>
      </w:pPr>
      <w:r>
        <w:rPr>
          <w:rFonts w:hint="eastAsia" w:ascii="宋体" w:hAnsi="宋体" w:cs="宋体"/>
          <w:color w:val="000000"/>
          <w:szCs w:val="24"/>
        </w:rPr>
        <w:t xml:space="preserve">  </w:t>
      </w:r>
      <w:r>
        <w:rPr>
          <w:rFonts w:ascii="宋体" w:hAnsi="宋体" w:eastAsia="宋体" w:cs="宋体"/>
          <w:color w:val="000000"/>
          <w:kern w:val="0"/>
          <w:sz w:val="24"/>
          <w:szCs w:val="24"/>
          <w:lang w:val="en-US" w:eastAsia="zh-CN" w:bidi="ar-SA"/>
        </w:rPr>
        <w:pict>
          <v:shape id="图片 10" o:spid="_x0000_s1039" type="#_x0000_t75" style="height:224.25pt;width:399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widowControl/>
        <w:shd w:val="clear" w:color="auto" w:fill="FFFFFF"/>
        <w:spacing w:line="360" w:lineRule="auto"/>
        <w:ind w:firstLine="480" w:firstLineChars="200"/>
        <w:jc w:val="left"/>
        <w:rPr>
          <w:rFonts w:ascii="Tahoma" w:hAnsi="Tahoma" w:cs="Tahoma"/>
          <w:color w:val="000000"/>
          <w:kern w:val="0"/>
          <w:sz w:val="24"/>
          <w:szCs w:val="24"/>
        </w:rPr>
      </w:pPr>
    </w:p>
    <w:p>
      <w:pPr>
        <w:widowControl/>
        <w:shd w:val="clear" w:color="auto" w:fill="FFFFFF"/>
        <w:spacing w:line="360" w:lineRule="auto"/>
        <w:ind w:firstLine="480" w:firstLineChars="200"/>
        <w:jc w:val="left"/>
        <w:rPr>
          <w:rFonts w:ascii="Tahoma" w:hAnsi="Tahoma" w:cs="Tahoma"/>
          <w:color w:val="000000"/>
          <w:kern w:val="0"/>
          <w:sz w:val="24"/>
          <w:szCs w:val="24"/>
        </w:rPr>
      </w:pPr>
      <w:r>
        <w:rPr>
          <w:rFonts w:ascii="Tahoma" w:hAnsi="Tahoma" w:cs="Tahoma"/>
          <w:color w:val="000000"/>
          <w:kern w:val="0"/>
          <w:sz w:val="24"/>
          <w:szCs w:val="24"/>
        </w:rPr>
        <w:t>我国政府工作报告中年度CPI涨幅的控制目标是3.0%，这意味着从全年CPI同比来讲，2015年全年通货膨胀水平较为温和，但是7-12月份CPI同比会逐渐走高，随着猪肉价格的逐渐攀升，2015年年底CPI有可能达到3.0%左右。</w:t>
      </w:r>
    </w:p>
    <w:p>
      <w:pPr>
        <w:widowControl/>
        <w:shd w:val="clear" w:color="auto" w:fill="FFFFFF"/>
        <w:spacing w:line="360" w:lineRule="auto"/>
        <w:ind w:firstLine="480" w:firstLineChars="200"/>
        <w:jc w:val="left"/>
        <w:rPr>
          <w:rFonts w:ascii="Tahoma" w:hAnsi="Tahoma" w:cs="Tahoma"/>
          <w:color w:val="000000"/>
          <w:kern w:val="0"/>
          <w:sz w:val="24"/>
          <w:szCs w:val="24"/>
        </w:rPr>
      </w:pPr>
      <w:r>
        <w:rPr>
          <w:rFonts w:ascii="Tahoma" w:hAnsi="Tahoma" w:cs="Tahoma"/>
          <w:color w:val="000000"/>
          <w:kern w:val="0"/>
          <w:sz w:val="24"/>
          <w:szCs w:val="24"/>
        </w:rPr>
        <w:t>猪肉价格对CPI的拉动在2016年1-3月份会达到1.5个百分点左右，那时候可能形成一个CPI的阶段性高点。这意味着7-12月份货币政策仍然可以保持一个宽松的政策取向，但是要警惕的是明年年初可能迎来货币政策的转向，货币政策的宽松空间会因为CPI同比的回升而掣肘。</w:t>
      </w:r>
    </w:p>
    <w:p>
      <w:pPr>
        <w:widowControl/>
        <w:jc w:val="center"/>
        <w:rPr>
          <w:rFonts w:ascii="宋体" w:hAnsi="宋体" w:cs="宋体"/>
          <w:kern w:val="0"/>
          <w:sz w:val="24"/>
          <w:szCs w:val="24"/>
        </w:rPr>
      </w:pPr>
      <w:r>
        <w:rPr>
          <w:rFonts w:ascii="宋体" w:hAnsi="宋体" w:eastAsia="宋体" w:cs="宋体"/>
          <w:kern w:val="0"/>
          <w:sz w:val="24"/>
          <w:szCs w:val="24"/>
          <w:lang w:val="en-US" w:eastAsia="zh-CN" w:bidi="ar-SA"/>
        </w:rPr>
        <w:pict>
          <v:shape id="Picture 11" o:spid="_x0000_s1040" type="#_x0000_t75" style="height:222pt;width:438pt;rotation:0f;" o:ole="f" fillcolor="#FFFFFF" filled="f" o:preferrelative="t" stroked="f" coordorigin="0,0" coordsize="21600,21600">
            <v:fill on="f" color2="#FFFFFF" focus="0%"/>
            <v:imagedata gain="65536f" blacklevel="0f" gamma="0" o:title="C:/Users/Administrator/Documents/Tencent%20Files/344021639/Image/C2C/2YMVA~08%25W0XOD_%5d6%6080MKQ.png" r:id="rId19" r:href="rId20"/>
            <o:lock v:ext="edit" position="f" selection="f" grouping="f" rotation="f" cropping="f" text="f" aspectratio="t"/>
            <w10:wrap type="none"/>
            <w10:anchorlock/>
          </v:shape>
        </w:pict>
      </w:r>
    </w:p>
    <w:p>
      <w:pPr>
        <w:pStyle w:val="5"/>
        <w:widowControl/>
        <w:spacing w:line="360" w:lineRule="auto"/>
        <w:ind w:right="496"/>
        <w:rPr>
          <w:rFonts w:hint="eastAsia" w:ascii="宋体" w:hAnsi="宋体" w:cs="宋体"/>
          <w:color w:val="000000"/>
          <w:szCs w:val="24"/>
        </w:rPr>
      </w:pPr>
      <w:r>
        <w:rPr>
          <w:rFonts w:hint="eastAsia" w:ascii="宋体" w:hAnsi="宋体" w:cs="宋体"/>
          <w:color w:val="000000"/>
          <w:szCs w:val="24"/>
        </w:rPr>
        <w:t xml:space="preserve"> </w:t>
      </w:r>
    </w:p>
    <w:p>
      <w:pPr>
        <w:pStyle w:val="5"/>
        <w:widowControl/>
        <w:spacing w:line="360" w:lineRule="auto"/>
        <w:ind w:right="496"/>
        <w:rPr>
          <w:rFonts w:hint="eastAsia" w:ascii="宋体" w:hAnsi="宋体" w:cs="宋体"/>
          <w:color w:val="000000"/>
          <w:szCs w:val="24"/>
        </w:rPr>
      </w:pPr>
    </w:p>
    <w:p>
      <w:pPr>
        <w:pStyle w:val="5"/>
        <w:widowControl/>
        <w:spacing w:line="360" w:lineRule="auto"/>
        <w:ind w:right="496"/>
        <w:rPr>
          <w:rFonts w:hint="eastAsia" w:ascii="宋体" w:hAnsi="宋体" w:cs="宋体"/>
          <w:color w:val="000000"/>
          <w:szCs w:val="24"/>
        </w:rPr>
      </w:pPr>
    </w:p>
    <w:p>
      <w:pPr>
        <w:pStyle w:val="5"/>
        <w:widowControl/>
        <w:spacing w:line="360" w:lineRule="auto"/>
        <w:ind w:right="496"/>
        <w:rPr>
          <w:rFonts w:hint="eastAsia" w:ascii="宋体" w:hAnsi="宋体" w:cs="宋体"/>
          <w:color w:val="000000"/>
          <w:szCs w:val="24"/>
        </w:rPr>
      </w:pPr>
    </w:p>
    <w:p>
      <w:pPr>
        <w:pStyle w:val="5"/>
        <w:widowControl/>
        <w:spacing w:line="360" w:lineRule="auto"/>
        <w:ind w:right="496"/>
        <w:rPr>
          <w:rFonts w:ascii="宋体" w:hAnsi="宋体" w:cs="宋体"/>
          <w:b/>
          <w:color w:val="0070C0"/>
          <w:szCs w:val="24"/>
        </w:rPr>
      </w:pPr>
      <w:r>
        <w:rPr>
          <w:rFonts w:hint="eastAsia" w:ascii="宋体" w:hAnsi="宋体" w:cs="宋体"/>
          <w:b/>
          <w:color w:val="0070C0"/>
          <w:szCs w:val="24"/>
        </w:rPr>
        <w:t>七、人民币波动</w:t>
      </w:r>
    </w:p>
    <w:p>
      <w:pPr>
        <w:pStyle w:val="5"/>
        <w:widowControl/>
        <w:spacing w:line="360" w:lineRule="auto"/>
        <w:ind w:right="496"/>
        <w:rPr>
          <w:rFonts w:hint="eastAsia" w:ascii="宋体" w:hAnsi="宋体" w:cs="宋体"/>
          <w:b/>
          <w:color w:val="000000"/>
          <w:szCs w:val="24"/>
        </w:rPr>
      </w:pPr>
      <w:r>
        <w:rPr>
          <w:rFonts w:hint="eastAsia" w:ascii="宋体" w:hAnsi="宋体" w:cs="宋体"/>
          <w:b/>
          <w:color w:val="000000"/>
          <w:szCs w:val="24"/>
        </w:rPr>
        <w:t xml:space="preserve">     </w:t>
      </w:r>
    </w:p>
    <w:p>
      <w:pPr>
        <w:pStyle w:val="5"/>
        <w:widowControl/>
        <w:spacing w:line="360" w:lineRule="auto"/>
        <w:ind w:right="496" w:firstLine="360" w:firstLineChars="150"/>
        <w:rPr>
          <w:rFonts w:ascii="宋体" w:hAnsi="宋体" w:cs="宋体"/>
          <w:color w:val="000000"/>
          <w:szCs w:val="24"/>
        </w:rPr>
      </w:pPr>
      <w:r>
        <w:rPr>
          <w:rFonts w:hint="eastAsia" w:ascii="宋体" w:hAnsi="宋体" w:cs="宋体"/>
          <w:color w:val="000000"/>
          <w:szCs w:val="24"/>
        </w:rPr>
        <w:t>对外贸易下半年依然面临下行风险,同时由于美联储加息可能带来的冲击,人民币接下来也将面临宽幅波动,也将给股市带来一定的承压。</w:t>
      </w:r>
    </w:p>
    <w:p>
      <w:pPr>
        <w:pStyle w:val="5"/>
        <w:widowControl/>
        <w:spacing w:line="360" w:lineRule="auto"/>
        <w:ind w:right="496"/>
        <w:rPr>
          <w:rFonts w:ascii="宋体" w:hAnsi="宋体" w:cs="宋体"/>
          <w:b/>
          <w:color w:val="000000"/>
          <w:szCs w:val="24"/>
        </w:rPr>
      </w:pPr>
      <w:r>
        <w:rPr>
          <w:rFonts w:hint="eastAsia"/>
        </w:rPr>
        <w:t xml:space="preserve">     </w:t>
      </w:r>
      <w:r>
        <w:rPr>
          <w:rFonts w:ascii="Calibri" w:hAnsi="Calibri" w:eastAsia="宋体" w:cs="Times New Roman"/>
          <w:kern w:val="0"/>
          <w:sz w:val="24"/>
          <w:szCs w:val="22"/>
          <w:lang w:val="en-US" w:eastAsia="zh-CN" w:bidi="ar-SA"/>
        </w:rPr>
        <w:pict>
          <v:shape id="图片 34" o:spid="_x0000_s1041" type="#_x0000_t75" style="height:209.25pt;width:456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p>
      <w:pPr>
        <w:pStyle w:val="5"/>
        <w:widowControl/>
        <w:spacing w:line="360" w:lineRule="auto"/>
        <w:ind w:right="496" w:firstLine="480"/>
      </w:pPr>
      <w:r>
        <w:rPr>
          <w:rFonts w:ascii="Calibri" w:hAnsi="Calibri" w:eastAsia="宋体" w:cs="Times New Roman"/>
          <w:kern w:val="0"/>
          <w:sz w:val="24"/>
          <w:szCs w:val="22"/>
          <w:lang w:val="en-US" w:eastAsia="zh-CN" w:bidi="ar-SA"/>
        </w:rPr>
        <w:pict>
          <v:shape id="图片 35" o:spid="_x0000_s1042" type="#_x0000_t75" style="height:206.25pt;width:463.5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p>
    <w:p>
      <w:pPr>
        <w:pStyle w:val="5"/>
        <w:widowControl/>
        <w:spacing w:line="360" w:lineRule="auto"/>
        <w:ind w:right="496" w:firstLine="480"/>
        <w:rPr>
          <w:rFonts w:ascii="宋体" w:hAnsi="宋体" w:cs="宋体"/>
          <w:b/>
          <w:color w:val="000000"/>
          <w:szCs w:val="24"/>
        </w:rPr>
      </w:pPr>
      <w:r>
        <w:rPr>
          <w:rFonts w:ascii="Calibri" w:hAnsi="Calibri" w:eastAsia="宋体" w:cs="Times New Roman"/>
          <w:kern w:val="0"/>
          <w:sz w:val="24"/>
          <w:szCs w:val="22"/>
          <w:lang w:val="en-US" w:eastAsia="zh-CN" w:bidi="ar-SA"/>
        </w:rPr>
        <w:pict>
          <v:shape id="图片 40" o:spid="_x0000_s1043" type="#_x0000_t75" style="height:207.75pt;width:460.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pStyle w:val="5"/>
        <w:widowControl/>
        <w:spacing w:line="360" w:lineRule="auto"/>
        <w:ind w:right="496" w:firstLine="480"/>
        <w:rPr>
          <w:rFonts w:ascii="宋体" w:hAnsi="宋体" w:cs="宋体"/>
          <w:b/>
          <w:color w:val="000000"/>
          <w:szCs w:val="24"/>
        </w:rPr>
      </w:pPr>
    </w:p>
    <w:p>
      <w:pPr>
        <w:pStyle w:val="5"/>
        <w:widowControl/>
        <w:spacing w:line="360" w:lineRule="auto"/>
        <w:ind w:right="496" w:firstLine="480"/>
        <w:rPr>
          <w:rFonts w:ascii="宋体" w:hAnsi="宋体" w:cs="宋体"/>
          <w:b/>
          <w:color w:val="000000"/>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综上所述，我们认为随着房地产出现企稳回暖、通胀率CPI及工业品出厂价格PPI逐渐回升，经济基本面预计将在明年（2016年）上半年见底。由此可见，货币政策的拐点即将出现。尽管央行将采用区间管理模式调控资金利率，避免资金利率过快上行，但是总量货币政策工具的使用基本已接近尾声，资金利率中枢上行趋势基本确立。其次，加上管理层坚决对证券市场去杠杆化的效应，多种因素抑制了证券市场上涨。因此，“改革牛”的根基已经发生变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我们预判：如果股市重回上涨趋势，需要等待新的信号。例如实体经济明显转好，企业效益大幅度提高，货币政策从观望重回宽松轨道，大量资金回流到股市；重磅改革落地，提振市场预期。为市场找到这样新的主题，是需要一定的时间，预计这个时点将在明年出现，真正的“牛市”也将到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免责声明:本报告中所提供的信息仅供参考。报告根据行业通行的准则，以合法渠道获得这些信息，尽可能保证可靠、准确和完整，但并不保证报告所述信息的准确性和完整性。本报告不能作为投资研究决策的依据，不能作为道义的、责任的和法律的依据或者凭证，无论是否已经明示或者暗示。本公司将随时补充、更正和修订有关信息，但不保证及时发布。对于本报告所提供信息所导致的任何直接的或者间接的投资盈亏后果不承担任何责任。</w:t>
      </w:r>
    </w:p>
    <w:p>
      <w:pPr>
        <w:pStyle w:val="5"/>
        <w:widowControl/>
        <w:spacing w:line="360" w:lineRule="auto"/>
        <w:ind w:left="496" w:right="496"/>
        <w:rPr>
          <w:rFonts w:ascii="宋体" w:hAnsi="宋体" w:cs="宋体"/>
          <w:color w:val="000000"/>
          <w:szCs w:val="24"/>
        </w:rPr>
      </w:pPr>
      <w:r>
        <w:rPr>
          <w:rFonts w:hint="eastAsia" w:ascii="宋体" w:hAnsi="宋体" w:cs="宋体"/>
          <w:color w:val="000000"/>
          <w:szCs w:val="24"/>
        </w:rPr>
        <w:t xml:space="preserve"> </w:t>
      </w:r>
      <w:bookmarkStart w:id="0" w:name="_GoBack"/>
      <w:bookmarkEnd w:id="0"/>
    </w:p>
    <w:p>
      <w:pPr>
        <w:widowControl/>
        <w:jc w:val="left"/>
        <w:rPr>
          <w:rFonts w:ascii="宋体" w:hAnsi="宋体" w:cs="宋体"/>
          <w:kern w:val="0"/>
          <w:sz w:val="24"/>
          <w:szCs w:val="24"/>
        </w:rPr>
      </w:pPr>
    </w:p>
    <w:p/>
    <w:sectPr>
      <w:headerReference r:id="rId4" w:type="default"/>
      <w:footerReference r:id="rId6" w:type="default"/>
      <w:headerReference r:id="rId5" w:type="even"/>
      <w:pgSz w:w="11906" w:h="16838"/>
      <w:pgMar w:top="720" w:right="720" w:bottom="720" w:left="72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文本框 6" o:spid="_x0000_s1028"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b/>
                    <w:bCs/>
                    <w:color w:val="CC0000"/>
                    <w:sz w:val="18"/>
                  </w:rPr>
                </w:pPr>
                <w:r>
                  <w:rPr>
                    <w:rFonts w:hint="eastAsia" w:ascii="宋体" w:hAnsi="宋体" w:cs="宋体"/>
                    <w:b/>
                    <w:bCs/>
                    <w:color w:val="CC0000"/>
                    <w:sz w:val="18"/>
                  </w:rPr>
                  <w:t xml:space="preserve">第 </w:t>
                </w:r>
                <w:r>
                  <w:rPr>
                    <w:rFonts w:hint="eastAsia" w:ascii="宋体" w:hAnsi="宋体" w:cs="宋体"/>
                    <w:b/>
                    <w:bCs/>
                    <w:color w:val="CC0000"/>
                    <w:sz w:val="18"/>
                  </w:rPr>
                  <w:fldChar w:fldCharType="begin"/>
                </w:r>
                <w:r>
                  <w:rPr>
                    <w:rFonts w:hint="eastAsia" w:ascii="宋体" w:hAnsi="宋体" w:cs="宋体"/>
                    <w:b/>
                    <w:bCs/>
                    <w:color w:val="CC0000"/>
                    <w:sz w:val="18"/>
                  </w:rPr>
                  <w:instrText xml:space="preserve"> PAGE  \* MERGEFORMAT </w:instrText>
                </w:r>
                <w:r>
                  <w:rPr>
                    <w:rFonts w:hint="eastAsia" w:ascii="宋体" w:hAnsi="宋体" w:cs="宋体"/>
                    <w:b/>
                    <w:bCs/>
                    <w:color w:val="CC0000"/>
                    <w:sz w:val="18"/>
                  </w:rPr>
                  <w:fldChar w:fldCharType="separate"/>
                </w:r>
                <w:r>
                  <w:t>1</w:t>
                </w:r>
                <w:r>
                  <w:rPr>
                    <w:rFonts w:hint="eastAsia" w:ascii="宋体" w:hAnsi="宋体" w:cs="宋体"/>
                    <w:b/>
                    <w:bCs/>
                    <w:color w:val="CC0000"/>
                    <w:sz w:val="18"/>
                  </w:rPr>
                  <w:fldChar w:fldCharType="end"/>
                </w:r>
                <w:r>
                  <w:rPr>
                    <w:rFonts w:hint="eastAsia" w:ascii="宋体" w:hAnsi="宋体" w:cs="宋体"/>
                    <w:b/>
                    <w:bCs/>
                    <w:color w:val="CC0000"/>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ind w:firstLine="8000" w:firstLineChars="2500"/>
      <w:jc w:val="both"/>
      <w:rPr>
        <w:rFonts w:ascii="Cambria" w:hAnsi="Cambria"/>
        <w:sz w:val="32"/>
        <w:szCs w:val="32"/>
      </w:rPr>
    </w:pPr>
    <w:r>
      <w:rPr>
        <w:rFonts w:ascii="Cambria" w:hAnsi="Cambria" w:eastAsia="宋体" w:cs="Times New Roman"/>
        <w:kern w:val="2"/>
        <w:sz w:val="32"/>
        <w:szCs w:val="32"/>
        <w:lang w:val="en-US" w:eastAsia="zh-CN" w:bidi="ar-SA"/>
      </w:rPr>
      <w:pict>
        <v:shape id="图片 3" o:spid="_x0000_s1025" type="#_x0000_t75" style="height:30pt;width:30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ascii="Cambria" w:hAnsi="Cambria" w:eastAsia="宋体" w:cs="Times New Roman"/>
        <w:kern w:val="2"/>
        <w:sz w:val="32"/>
        <w:szCs w:val="32"/>
        <w:lang w:val="en-US" w:eastAsia="zh-CN" w:bidi="ar-SA"/>
      </w:rPr>
      <w:pict>
        <v:group id="对象 1" o:spid="_x0000_s1026" style="height:29.3pt;width:92.6pt;rotation:0f;" coordorigin="15195,525" coordsize="2955,1401">
          <o:lock v:ext="edit" position="f" selection="f" grouping="f" rotation="f" cropping="f" text="f" aspectratio="f"/>
          <v:rect id="Text Box 3" o:spid="_x0000_s1027" style="position:absolute;left:15195;top:525;height:1401;width:2955;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ascii="黑体" w:hAnsi="黑体" w:eastAsia="黑体" w:cs="黑体"/>
                      <w:b/>
                      <w:color w:val="CC0000"/>
                      <w:sz w:val="18"/>
                      <w:szCs w:val="18"/>
                    </w:rPr>
                  </w:pPr>
                  <w:r>
                    <w:rPr>
                      <w:rFonts w:hint="eastAsia" w:ascii="黑体" w:hAnsi="黑体" w:eastAsia="黑体" w:cs="黑体"/>
                      <w:b/>
                      <w:color w:val="CC0000"/>
                      <w:sz w:val="18"/>
                      <w:szCs w:val="18"/>
                    </w:rPr>
                    <w:t>汇 通 华 基 金</w:t>
                  </w:r>
                </w:p>
                <w:p>
                  <w:pPr>
                    <w:rPr>
                      <w:rFonts w:ascii="黑体" w:hAnsi="黑体" w:eastAsia="黑体" w:cs="黑体"/>
                      <w:b/>
                      <w:sz w:val="28"/>
                      <w:szCs w:val="28"/>
                    </w:rPr>
                  </w:pPr>
                  <w:r>
                    <w:rPr>
                      <w:rFonts w:hint="eastAsia" w:ascii="黑体" w:hAnsi="黑体" w:eastAsia="黑体" w:cs="黑体"/>
                      <w:b/>
                      <w:color w:val="CC0000"/>
                      <w:sz w:val="28"/>
                      <w:szCs w:val="28"/>
                      <w:vertAlign w:val="superscript"/>
                    </w:rPr>
                    <w:t>HUITONGHUA   FUND</w:t>
                  </w:r>
                </w:p>
              </w:txbxContent>
            </v:textbox>
          </v:rect>
          <w10:wrap type="none"/>
          <w10:anchorlock/>
        </v:group>
      </w:pict>
    </w:r>
  </w:p>
  <w:p>
    <w:pPr>
      <w:pStyle w:val="4"/>
      <w:pBdr>
        <w:bottom w:val="thickThinSmallGap" w:color="CC0000" w:sz="12" w:space="0"/>
      </w:pBdr>
      <w:ind w:firstLine="7380" w:firstLineChars="41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8741706">
    <w:nsid w:val="55C174CA"/>
    <w:multiLevelType w:val="singleLevel"/>
    <w:tmpl w:val="55C174CA"/>
    <w:lvl w:ilvl="0" w:tentative="1">
      <w:start w:val="2"/>
      <w:numFmt w:val="chineseCounting"/>
      <w:suff w:val="nothing"/>
      <w:lvlText w:val="%1、"/>
      <w:lvlJc w:val="left"/>
    </w:lvl>
  </w:abstractNum>
  <w:num w:numId="1">
    <w:abstractNumId w:val="14387417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71C0D"/>
    <w:rsid w:val="000D4995"/>
    <w:rsid w:val="000F0A19"/>
    <w:rsid w:val="000F0DBB"/>
    <w:rsid w:val="00101D5E"/>
    <w:rsid w:val="001036CC"/>
    <w:rsid w:val="00153B67"/>
    <w:rsid w:val="00173FF3"/>
    <w:rsid w:val="002128FD"/>
    <w:rsid w:val="002567C8"/>
    <w:rsid w:val="0028242C"/>
    <w:rsid w:val="002B6395"/>
    <w:rsid w:val="002D702E"/>
    <w:rsid w:val="00304255"/>
    <w:rsid w:val="00306755"/>
    <w:rsid w:val="00376486"/>
    <w:rsid w:val="003E7BD3"/>
    <w:rsid w:val="00420CED"/>
    <w:rsid w:val="004239FB"/>
    <w:rsid w:val="00463812"/>
    <w:rsid w:val="0049084B"/>
    <w:rsid w:val="00492628"/>
    <w:rsid w:val="00506F0B"/>
    <w:rsid w:val="005107A9"/>
    <w:rsid w:val="00545E51"/>
    <w:rsid w:val="005A484E"/>
    <w:rsid w:val="006326C8"/>
    <w:rsid w:val="006E39E1"/>
    <w:rsid w:val="00741704"/>
    <w:rsid w:val="007F6E3B"/>
    <w:rsid w:val="00815AE0"/>
    <w:rsid w:val="008D7C7B"/>
    <w:rsid w:val="008E2984"/>
    <w:rsid w:val="009066E5"/>
    <w:rsid w:val="00936983"/>
    <w:rsid w:val="00963E51"/>
    <w:rsid w:val="00971C0D"/>
    <w:rsid w:val="00986536"/>
    <w:rsid w:val="009A1EA7"/>
    <w:rsid w:val="009C1DB8"/>
    <w:rsid w:val="009C7E60"/>
    <w:rsid w:val="00A3576B"/>
    <w:rsid w:val="00AA6991"/>
    <w:rsid w:val="00AD6112"/>
    <w:rsid w:val="00B1798A"/>
    <w:rsid w:val="00B33657"/>
    <w:rsid w:val="00B51FDD"/>
    <w:rsid w:val="00B85B5F"/>
    <w:rsid w:val="00C214BF"/>
    <w:rsid w:val="00CC0A98"/>
    <w:rsid w:val="00CC297A"/>
    <w:rsid w:val="00D21A45"/>
    <w:rsid w:val="00E81A1C"/>
    <w:rsid w:val="00E84C24"/>
    <w:rsid w:val="00E938BE"/>
    <w:rsid w:val="00F531BA"/>
    <w:rsid w:val="00F60283"/>
    <w:rsid w:val="00F7182A"/>
    <w:rsid w:val="00FE02A9"/>
    <w:rsid w:val="15103741"/>
    <w:rsid w:val="7F9F307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jc w:val="left"/>
    </w:pPr>
    <w:rPr>
      <w:kern w:val="0"/>
      <w:sz w:val="24"/>
    </w:rPr>
  </w:style>
  <w:style w:type="character" w:styleId="7">
    <w:name w:val="Strong"/>
    <w:basedOn w:val="6"/>
    <w:qFormat/>
    <w:uiPriority w:val="22"/>
    <w:rPr>
      <w:b/>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C:/Users/Administrator/Documents/Tencent%20Files/344021639/Image/C2C/2YMVA~08%25W0XOD_%5d6%6080MKQ.png" TargetMode="External"/><Relationship Id="rId2" Type="http://schemas.openxmlformats.org/officeDocument/2006/relationships/styles" Target="style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C:/Users/Administrator/Documents/Tencent%20Files/344021639/Image/C2C/5%7bZFQ$06N@JVEWBN%7dWKP@AB.png" TargetMode="Externa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3191</Words>
  <Characters>3409</Characters>
  <Lines>28</Lines>
  <Paragraphs>8</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2015-05-02T09:07:00Z</dcterms:created>
  <dc:creator>User</dc:creator>
  <cp:lastModifiedBy>Administrator</cp:lastModifiedBy>
  <dcterms:modified xsi:type="dcterms:W3CDTF">2015-08-05T02:39:40Z</dcterms:modified>
  <dc:title>df</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